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B830" w14:textId="77777777" w:rsidR="00F8570F" w:rsidRPr="004A7888" w:rsidRDefault="00F8570F" w:rsidP="00F8570F">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nl-NL"/>
          <w14:ligatures w14:val="none"/>
        </w:rPr>
      </w:pPr>
      <w:r w:rsidRPr="004A7888">
        <w:rPr>
          <w:rFonts w:ascii="Times New Roman" w:eastAsia="Times New Roman" w:hAnsi="Times New Roman" w:cs="Times New Roman"/>
          <w:b/>
          <w:bCs/>
          <w:color w:val="000000"/>
          <w:kern w:val="0"/>
          <w:sz w:val="27"/>
          <w:szCs w:val="27"/>
          <w:lang w:eastAsia="nl-NL"/>
          <w14:ligatures w14:val="none"/>
        </w:rPr>
        <w:t>1. Cardiac Output and NIRS in CPET (Prof. Piergiuseppe Agostoni)</w:t>
      </w:r>
    </w:p>
    <w:p w14:paraId="0D88EAC6" w14:textId="77777777" w:rsidR="00F8570F" w:rsidRPr="004A7888" w:rsidRDefault="00F8570F" w:rsidP="00F8570F">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F61433">
        <w:rPr>
          <w:rFonts w:ascii="Times New Roman" w:eastAsia="Times New Roman" w:hAnsi="Times New Roman" w:cs="Times New Roman"/>
          <w:color w:val="000000"/>
          <w:kern w:val="0"/>
          <w:sz w:val="24"/>
          <w:lang w:eastAsia="nl-NL"/>
          <w14:ligatures w14:val="none"/>
        </w:rPr>
        <w:t>This abstract addresses the essential role of Cardiac Output (CO) and the arteriovenous oxygen difference (a-vO2diff)  in interpreting maximal oxygen uptake (VO2) using the fundamental Fick Principle: VO2= CO x (</w:t>
      </w:r>
      <w:r>
        <w:rPr>
          <w:rFonts w:ascii="Times New Roman" w:eastAsia="Times New Roman" w:hAnsi="Times New Roman" w:cs="Times New Roman"/>
          <w:color w:val="000000"/>
          <w:kern w:val="0"/>
          <w:sz w:val="24"/>
          <w:lang w:eastAsia="nl-NL"/>
          <w14:ligatures w14:val="none"/>
        </w:rPr>
        <w:t>Ca-Cv</w:t>
      </w:r>
      <w:r w:rsidRPr="00F61433">
        <w:rPr>
          <w:rFonts w:ascii="Times New Roman" w:eastAsia="Times New Roman" w:hAnsi="Times New Roman" w:cs="Times New Roman"/>
          <w:color w:val="000000"/>
          <w:kern w:val="0"/>
          <w:sz w:val="24"/>
          <w:lang w:eastAsia="nl-NL"/>
          <w14:ligatures w14:val="none"/>
        </w:rPr>
        <w:t xml:space="preserve">). Measuring CO during Cardiopulmonary Exercise Testing (CPET) is crucial for identifying physiological limitations beyond just </w:t>
      </w:r>
      <w:r>
        <w:rPr>
          <w:rFonts w:ascii="Times New Roman" w:eastAsia="Times New Roman" w:hAnsi="Times New Roman" w:cs="Times New Roman"/>
          <w:color w:val="000000"/>
          <w:kern w:val="0"/>
          <w:sz w:val="24"/>
          <w:lang w:eastAsia="nl-NL"/>
          <w14:ligatures w14:val="none"/>
        </w:rPr>
        <w:t>VO2.</w:t>
      </w:r>
      <w:r w:rsidRPr="00F61433">
        <w:rPr>
          <w:rFonts w:ascii="Times New Roman" w:eastAsia="Times New Roman" w:hAnsi="Times New Roman" w:cs="Times New Roman"/>
          <w:color w:val="000000"/>
          <w:kern w:val="0"/>
          <w:sz w:val="24"/>
          <w:lang w:eastAsia="nl-NL"/>
          <w14:ligatures w14:val="none"/>
        </w:rPr>
        <w:t xml:space="preserve"> Methods for measuring CO include the Inert Gas Rebreathing Method (using soluble and insoluble gases like SF6 or N2O to measure Pulmonary blood flow) and non-invasive devices such as PhysioFlow. PhysioFlow uses six electrodes on the thorax to continuously monitor heart rate (HR) and stroke volume (SV), deriving CO and cardiac index by stroke waveform morphology analysis. This device provides accurate, reproducible, and sensitive measurements, even in challenging patient populations</w:t>
      </w:r>
      <w:r w:rsidRPr="004A7888">
        <w:rPr>
          <w:rFonts w:ascii="Times New Roman" w:eastAsia="Times New Roman" w:hAnsi="Times New Roman" w:cs="Times New Roman"/>
          <w:color w:val="000000"/>
          <w:kern w:val="0"/>
          <w:sz w:val="24"/>
          <w:lang w:eastAsia="nl-NL"/>
          <w14:ligatures w14:val="none"/>
        </w:rPr>
        <w:t>.</w:t>
      </w:r>
    </w:p>
    <w:p w14:paraId="58A35F88" w14:textId="77777777" w:rsidR="00F8570F" w:rsidRPr="004A7888" w:rsidRDefault="00F8570F" w:rsidP="00F8570F">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 xml:space="preserve">The detailed analysis of </w:t>
      </w:r>
      <w:r>
        <w:rPr>
          <w:rFonts w:ascii="Times New Roman" w:eastAsia="Times New Roman" w:hAnsi="Times New Roman" w:cs="Times New Roman"/>
          <w:color w:val="000000"/>
          <w:kern w:val="0"/>
          <w:sz w:val="24"/>
          <w:lang w:eastAsia="nl-NL"/>
          <w14:ligatures w14:val="none"/>
        </w:rPr>
        <w:t>VO2</w:t>
      </w:r>
      <w:r w:rsidRPr="004A7888">
        <w:rPr>
          <w:rFonts w:ascii="Times New Roman" w:eastAsia="Times New Roman" w:hAnsi="Times New Roman" w:cs="Times New Roman"/>
          <w:color w:val="000000"/>
          <w:kern w:val="0"/>
          <w:sz w:val="24"/>
          <w:lang w:eastAsia="nl-NL"/>
          <w14:ligatures w14:val="none"/>
        </w:rPr>
        <w:t xml:space="preserve"> deficits is highly relevant for understanding functional capacity. For example, in a patient with a measured </w:t>
      </w:r>
      <w:r>
        <w:rPr>
          <w:rFonts w:ascii="Times New Roman" w:eastAsia="Times New Roman" w:hAnsi="Times New Roman" w:cs="Times New Roman"/>
          <w:color w:val="000000"/>
          <w:kern w:val="0"/>
          <w:sz w:val="24"/>
          <w:lang w:eastAsia="nl-NL"/>
          <w14:ligatures w14:val="none"/>
        </w:rPr>
        <w:t>VO2max</w:t>
      </w:r>
      <w:r w:rsidRPr="004A7888">
        <w:rPr>
          <w:rFonts w:ascii="Times New Roman" w:eastAsia="Times New Roman" w:hAnsi="Times New Roman" w:cs="Times New Roman"/>
          <w:color w:val="000000"/>
          <w:kern w:val="0"/>
          <w:sz w:val="24"/>
          <w:lang w:eastAsia="nl-NL"/>
          <w14:ligatures w14:val="none"/>
        </w:rPr>
        <w:t xml:space="preserve"> that was 51% of predicted, the deficit was primarily attributed to </w:t>
      </w:r>
      <w:r w:rsidRPr="00F61433">
        <w:rPr>
          <w:rFonts w:ascii="Times New Roman" w:eastAsia="Times New Roman" w:hAnsi="Times New Roman" w:cs="Times New Roman"/>
          <w:color w:val="000000"/>
          <w:kern w:val="0"/>
          <w:sz w:val="24"/>
          <w:lang w:eastAsia="nl-NL"/>
          <w14:ligatures w14:val="none"/>
        </w:rPr>
        <w:t>cardiogenic limitations (74%)</w:t>
      </w:r>
      <w:r w:rsidRPr="004A7888">
        <w:rPr>
          <w:rFonts w:ascii="Times New Roman" w:eastAsia="Times New Roman" w:hAnsi="Times New Roman" w:cs="Times New Roman"/>
          <w:color w:val="000000"/>
          <w:kern w:val="0"/>
          <w:sz w:val="24"/>
          <w:lang w:eastAsia="nl-NL"/>
          <w14:ligatures w14:val="none"/>
        </w:rPr>
        <w:t xml:space="preserve"> and anemia (26%), mainly due to a reduced increase in HR (71% of predicted). Clinical applications are broad, including monitoring patients with severe heart failure treated with CRT-D, Mitra Clip, or a Left Ventricular Assist Device Increasing LVAD pump flow is associated with an improvement in resting and peak exercise </w:t>
      </w:r>
      <w:r>
        <w:rPr>
          <w:rFonts w:ascii="Times New Roman" w:eastAsia="Times New Roman" w:hAnsi="Times New Roman" w:cs="Times New Roman"/>
          <w:color w:val="000000"/>
          <w:kern w:val="0"/>
          <w:sz w:val="24"/>
          <w:lang w:eastAsia="nl-NL"/>
          <w14:ligatures w14:val="none"/>
        </w:rPr>
        <w:t>CO and VO2</w:t>
      </w:r>
      <w:r w:rsidRPr="004A7888">
        <w:rPr>
          <w:rFonts w:ascii="Times New Roman" w:eastAsia="Times New Roman" w:hAnsi="Times New Roman" w:cs="Times New Roman"/>
          <w:color w:val="000000"/>
          <w:kern w:val="0"/>
          <w:sz w:val="24"/>
          <w:lang w:eastAsia="nl-NL"/>
          <w14:ligatures w14:val="none"/>
        </w:rPr>
        <w:t>, and improved ventilation efficiency. However, increasing LVAD speed may also deteriorate alveolar-capillary gas diffusion.</w:t>
      </w:r>
    </w:p>
    <w:p w14:paraId="0E94C7B1" w14:textId="77777777" w:rsidR="00F8570F" w:rsidRPr="00867D04" w:rsidRDefault="00F8570F" w:rsidP="00F8570F">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867D04">
        <w:rPr>
          <w:rFonts w:ascii="Times New Roman" w:eastAsia="Times New Roman" w:hAnsi="Times New Roman" w:cs="Times New Roman"/>
          <w:color w:val="000000"/>
          <w:kern w:val="0"/>
          <w:sz w:val="24"/>
          <w:lang w:eastAsia="nl-NL"/>
          <w14:ligatures w14:val="none"/>
        </w:rPr>
        <w:t xml:space="preserve">The presentation notes that the Fick Principle can be "deceptive", as it does not explicitly address the distribution of blood flow. The </w:t>
      </w:r>
      <w:r>
        <w:rPr>
          <w:rFonts w:ascii="Times New Roman" w:eastAsia="Times New Roman" w:hAnsi="Times New Roman" w:cs="Times New Roman"/>
          <w:color w:val="000000"/>
          <w:kern w:val="0"/>
          <w:sz w:val="24"/>
          <w:lang w:eastAsia="nl-NL"/>
          <w14:ligatures w14:val="none"/>
        </w:rPr>
        <w:t>a-vO2</w:t>
      </w:r>
      <w:r w:rsidRPr="00867D04">
        <w:rPr>
          <w:rFonts w:ascii="Times New Roman" w:eastAsia="Times New Roman" w:hAnsi="Times New Roman" w:cs="Times New Roman"/>
          <w:color w:val="000000"/>
          <w:kern w:val="0"/>
          <w:sz w:val="24"/>
          <w:lang w:eastAsia="nl-NL"/>
          <w14:ligatures w14:val="none"/>
        </w:rPr>
        <w:t xml:space="preserve"> difference depends on blood distribution towards working muscle. Ideal Cardiac Output is defined as the lowest </w:t>
      </w:r>
      <w:r>
        <w:rPr>
          <w:rFonts w:ascii="Times New Roman" w:eastAsia="Times New Roman" w:hAnsi="Times New Roman" w:cs="Times New Roman"/>
          <w:color w:val="000000"/>
          <w:kern w:val="0"/>
          <w:sz w:val="24"/>
          <w:lang w:eastAsia="nl-NL"/>
          <w14:ligatures w14:val="none"/>
        </w:rPr>
        <w:t>CO</w:t>
      </w:r>
      <w:r w:rsidRPr="00867D04">
        <w:rPr>
          <w:rFonts w:ascii="Times New Roman" w:eastAsia="Times New Roman" w:hAnsi="Times New Roman" w:cs="Times New Roman"/>
          <w:color w:val="000000"/>
          <w:kern w:val="0"/>
          <w:sz w:val="24"/>
          <w:lang w:eastAsia="nl-NL"/>
          <w14:ligatures w14:val="none"/>
        </w:rPr>
        <w:t xml:space="preserve"> estimated for a given </w:t>
      </w:r>
      <w:r>
        <w:rPr>
          <w:rFonts w:ascii="Times New Roman" w:eastAsia="Times New Roman" w:hAnsi="Times New Roman" w:cs="Times New Roman"/>
          <w:color w:val="000000"/>
          <w:kern w:val="0"/>
          <w:sz w:val="24"/>
          <w:lang w:eastAsia="nl-NL"/>
          <w14:ligatures w14:val="none"/>
        </w:rPr>
        <w:t>VO2</w:t>
      </w:r>
      <w:r w:rsidRPr="00867D04">
        <w:rPr>
          <w:rFonts w:ascii="Times New Roman" w:eastAsia="Times New Roman" w:hAnsi="Times New Roman" w:cs="Times New Roman"/>
          <w:color w:val="000000"/>
          <w:kern w:val="0"/>
          <w:sz w:val="24"/>
          <w:lang w:eastAsia="nl-NL"/>
          <w14:ligatures w14:val="none"/>
        </w:rPr>
        <w:t xml:space="preserve"> that reflects ideal extraction (muscle extraction equals that of the whole organism).</w:t>
      </w:r>
    </w:p>
    <w:p w14:paraId="7CBD7843" w14:textId="77777777" w:rsidR="00F8570F" w:rsidRPr="00867D04" w:rsidRDefault="00F8570F" w:rsidP="00F8570F">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867D04">
        <w:rPr>
          <w:rFonts w:ascii="Times New Roman" w:eastAsia="Times New Roman" w:hAnsi="Times New Roman" w:cs="Times New Roman"/>
          <w:color w:val="000000"/>
          <w:kern w:val="0"/>
          <w:sz w:val="24"/>
          <w:lang w:eastAsia="nl-NL"/>
          <w14:ligatures w14:val="none"/>
        </w:rPr>
        <w:t xml:space="preserve">Furthermore, Near Infrared Spectroscopy (NIRS) is introduced as a non-invasive optical technique for evaluating muscle energetics and tissue </w:t>
      </w:r>
      <w:r>
        <w:rPr>
          <w:rFonts w:ascii="Times New Roman" w:eastAsia="Times New Roman" w:hAnsi="Times New Roman" w:cs="Times New Roman"/>
          <w:color w:val="000000"/>
          <w:kern w:val="0"/>
          <w:sz w:val="24"/>
          <w:lang w:eastAsia="nl-NL"/>
          <w14:ligatures w14:val="none"/>
        </w:rPr>
        <w:t>O2 saturation</w:t>
      </w:r>
      <w:r w:rsidRPr="00867D04">
        <w:rPr>
          <w:rFonts w:ascii="Times New Roman" w:eastAsia="Times New Roman" w:hAnsi="Times New Roman" w:cs="Times New Roman"/>
          <w:color w:val="000000"/>
          <w:kern w:val="0"/>
          <w:sz w:val="24"/>
          <w:lang w:eastAsia="nl-NL"/>
          <w14:ligatures w14:val="none"/>
        </w:rPr>
        <w:t>. NIRS uses NIR</w:t>
      </w:r>
      <w:r>
        <w:rPr>
          <w:rFonts w:ascii="Times New Roman" w:eastAsia="Times New Roman" w:hAnsi="Times New Roman" w:cs="Times New Roman"/>
          <w:color w:val="000000"/>
          <w:kern w:val="0"/>
          <w:sz w:val="24"/>
          <w:lang w:eastAsia="nl-NL"/>
          <w14:ligatures w14:val="none"/>
        </w:rPr>
        <w:t xml:space="preserve"> </w:t>
      </w:r>
      <w:r w:rsidRPr="00867D04">
        <w:rPr>
          <w:rFonts w:ascii="Times New Roman" w:eastAsia="Times New Roman" w:hAnsi="Times New Roman" w:cs="Times New Roman"/>
          <w:color w:val="000000"/>
          <w:kern w:val="0"/>
          <w:sz w:val="24"/>
          <w:lang w:eastAsia="nl-NL"/>
          <w14:ligatures w14:val="none"/>
        </w:rPr>
        <w:t>light 700-1000nm to measure changes in oxyhemoglobin and deoxyhemoglobin</w:t>
      </w:r>
      <w:r>
        <w:rPr>
          <w:rFonts w:ascii="Times New Roman" w:eastAsia="Times New Roman" w:hAnsi="Times New Roman" w:cs="Times New Roman"/>
          <w:color w:val="000000"/>
          <w:kern w:val="0"/>
          <w:sz w:val="24"/>
          <w:lang w:eastAsia="nl-NL"/>
          <w14:ligatures w14:val="none"/>
        </w:rPr>
        <w:t>,</w:t>
      </w:r>
      <w:r w:rsidRPr="00867D04">
        <w:rPr>
          <w:rFonts w:ascii="Times New Roman" w:eastAsia="Times New Roman" w:hAnsi="Times New Roman" w:cs="Times New Roman"/>
          <w:color w:val="000000"/>
          <w:kern w:val="0"/>
          <w:sz w:val="24"/>
          <w:lang w:eastAsia="nl-NL"/>
          <w14:ligatures w14:val="none"/>
        </w:rPr>
        <w:t xml:space="preserve"> thereby determining the Tissue Oxygenation Index or Tissue Saturation Index</w:t>
      </w:r>
      <w:r>
        <w:rPr>
          <w:rFonts w:ascii="Times New Roman" w:eastAsia="Times New Roman" w:hAnsi="Times New Roman" w:cs="Times New Roman"/>
          <w:color w:val="000000"/>
          <w:kern w:val="0"/>
          <w:sz w:val="24"/>
          <w:lang w:eastAsia="nl-NL"/>
          <w14:ligatures w14:val="none"/>
        </w:rPr>
        <w:t>.</w:t>
      </w:r>
      <w:r w:rsidRPr="00867D04">
        <w:rPr>
          <w:rFonts w:ascii="Times New Roman" w:eastAsia="Times New Roman" w:hAnsi="Times New Roman" w:cs="Times New Roman"/>
          <w:color w:val="000000"/>
          <w:kern w:val="0"/>
          <w:sz w:val="24"/>
          <w:lang w:eastAsia="nl-NL"/>
          <w14:ligatures w14:val="none"/>
        </w:rPr>
        <w:t xml:space="preserve"> NIRS can also provide insights into complex phenomena such as periodic breathing in patients.</w:t>
      </w:r>
    </w:p>
    <w:p w14:paraId="73AC0477" w14:textId="77777777" w:rsidR="002741FB" w:rsidRDefault="002741FB"/>
    <w:sectPr w:rsidR="002741FB" w:rsidSect="00A607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0F"/>
    <w:rsid w:val="000036DE"/>
    <w:rsid w:val="000158C7"/>
    <w:rsid w:val="00017BD8"/>
    <w:rsid w:val="00022540"/>
    <w:rsid w:val="00022DB5"/>
    <w:rsid w:val="000433F4"/>
    <w:rsid w:val="00054CF7"/>
    <w:rsid w:val="000762B2"/>
    <w:rsid w:val="000871B9"/>
    <w:rsid w:val="000B1D02"/>
    <w:rsid w:val="000B7C24"/>
    <w:rsid w:val="000D3985"/>
    <w:rsid w:val="0011336A"/>
    <w:rsid w:val="001143CD"/>
    <w:rsid w:val="00116F47"/>
    <w:rsid w:val="00130168"/>
    <w:rsid w:val="00136090"/>
    <w:rsid w:val="00144E3C"/>
    <w:rsid w:val="00160AC0"/>
    <w:rsid w:val="00165976"/>
    <w:rsid w:val="001755B6"/>
    <w:rsid w:val="00177341"/>
    <w:rsid w:val="00184BC5"/>
    <w:rsid w:val="00187280"/>
    <w:rsid w:val="00187CE1"/>
    <w:rsid w:val="00195514"/>
    <w:rsid w:val="001B1323"/>
    <w:rsid w:val="001B2597"/>
    <w:rsid w:val="001B49E1"/>
    <w:rsid w:val="001E51AE"/>
    <w:rsid w:val="001F0232"/>
    <w:rsid w:val="001F123A"/>
    <w:rsid w:val="00212BD4"/>
    <w:rsid w:val="0021585F"/>
    <w:rsid w:val="00224C49"/>
    <w:rsid w:val="002503DB"/>
    <w:rsid w:val="0025360A"/>
    <w:rsid w:val="002741FB"/>
    <w:rsid w:val="00281649"/>
    <w:rsid w:val="002B1916"/>
    <w:rsid w:val="002B1AD2"/>
    <w:rsid w:val="002B5616"/>
    <w:rsid w:val="002E22E1"/>
    <w:rsid w:val="002F6A33"/>
    <w:rsid w:val="00311694"/>
    <w:rsid w:val="00356389"/>
    <w:rsid w:val="00365CC5"/>
    <w:rsid w:val="003C4D9C"/>
    <w:rsid w:val="003C75A7"/>
    <w:rsid w:val="003D0D9E"/>
    <w:rsid w:val="003D6326"/>
    <w:rsid w:val="003E3AB8"/>
    <w:rsid w:val="003F0644"/>
    <w:rsid w:val="003F22A7"/>
    <w:rsid w:val="003F41E7"/>
    <w:rsid w:val="004143B4"/>
    <w:rsid w:val="00424005"/>
    <w:rsid w:val="00477495"/>
    <w:rsid w:val="00484DAF"/>
    <w:rsid w:val="004A5EF2"/>
    <w:rsid w:val="004C41B0"/>
    <w:rsid w:val="004C65D0"/>
    <w:rsid w:val="004C76EC"/>
    <w:rsid w:val="004D1069"/>
    <w:rsid w:val="004D7119"/>
    <w:rsid w:val="004F23BB"/>
    <w:rsid w:val="005037D4"/>
    <w:rsid w:val="00507EDB"/>
    <w:rsid w:val="0052005A"/>
    <w:rsid w:val="005259DB"/>
    <w:rsid w:val="005307E9"/>
    <w:rsid w:val="00535910"/>
    <w:rsid w:val="00536012"/>
    <w:rsid w:val="00566611"/>
    <w:rsid w:val="005A44B4"/>
    <w:rsid w:val="005B51EC"/>
    <w:rsid w:val="005D51D3"/>
    <w:rsid w:val="005F040C"/>
    <w:rsid w:val="00616337"/>
    <w:rsid w:val="006201D8"/>
    <w:rsid w:val="00620734"/>
    <w:rsid w:val="0062630B"/>
    <w:rsid w:val="006365BF"/>
    <w:rsid w:val="00636F68"/>
    <w:rsid w:val="00645CA5"/>
    <w:rsid w:val="006547FA"/>
    <w:rsid w:val="0066437B"/>
    <w:rsid w:val="00676D36"/>
    <w:rsid w:val="006809D4"/>
    <w:rsid w:val="00693549"/>
    <w:rsid w:val="006A18CB"/>
    <w:rsid w:val="006A7864"/>
    <w:rsid w:val="006C7004"/>
    <w:rsid w:val="006D24B0"/>
    <w:rsid w:val="006D5505"/>
    <w:rsid w:val="006D6D2B"/>
    <w:rsid w:val="006D6F1D"/>
    <w:rsid w:val="006E3F36"/>
    <w:rsid w:val="00707409"/>
    <w:rsid w:val="00725BE3"/>
    <w:rsid w:val="0073379C"/>
    <w:rsid w:val="007378E7"/>
    <w:rsid w:val="00751983"/>
    <w:rsid w:val="0075675A"/>
    <w:rsid w:val="00776939"/>
    <w:rsid w:val="00776DC6"/>
    <w:rsid w:val="007B3CB4"/>
    <w:rsid w:val="007B48E2"/>
    <w:rsid w:val="007C0B23"/>
    <w:rsid w:val="007C3AAF"/>
    <w:rsid w:val="007C6604"/>
    <w:rsid w:val="00802E91"/>
    <w:rsid w:val="0081005D"/>
    <w:rsid w:val="008258FE"/>
    <w:rsid w:val="00826824"/>
    <w:rsid w:val="00850890"/>
    <w:rsid w:val="00851F27"/>
    <w:rsid w:val="008833BE"/>
    <w:rsid w:val="00884762"/>
    <w:rsid w:val="008A0C32"/>
    <w:rsid w:val="008A2F79"/>
    <w:rsid w:val="008A5661"/>
    <w:rsid w:val="008B3867"/>
    <w:rsid w:val="008E5D72"/>
    <w:rsid w:val="0090186C"/>
    <w:rsid w:val="009054B5"/>
    <w:rsid w:val="00905F98"/>
    <w:rsid w:val="0092646E"/>
    <w:rsid w:val="00945DA5"/>
    <w:rsid w:val="009532BE"/>
    <w:rsid w:val="00953EC0"/>
    <w:rsid w:val="00960654"/>
    <w:rsid w:val="009A3998"/>
    <w:rsid w:val="009C41B9"/>
    <w:rsid w:val="00A0003B"/>
    <w:rsid w:val="00A00E6A"/>
    <w:rsid w:val="00A1686C"/>
    <w:rsid w:val="00A17B8E"/>
    <w:rsid w:val="00A17E23"/>
    <w:rsid w:val="00A21B28"/>
    <w:rsid w:val="00A25691"/>
    <w:rsid w:val="00A33238"/>
    <w:rsid w:val="00A364E0"/>
    <w:rsid w:val="00A447BA"/>
    <w:rsid w:val="00A46C20"/>
    <w:rsid w:val="00A54233"/>
    <w:rsid w:val="00A607B4"/>
    <w:rsid w:val="00A63CB8"/>
    <w:rsid w:val="00A730E1"/>
    <w:rsid w:val="00A92F97"/>
    <w:rsid w:val="00AA26F9"/>
    <w:rsid w:val="00AB4266"/>
    <w:rsid w:val="00AC58A3"/>
    <w:rsid w:val="00AE47A8"/>
    <w:rsid w:val="00AE4DB8"/>
    <w:rsid w:val="00AF3CD8"/>
    <w:rsid w:val="00B10E97"/>
    <w:rsid w:val="00B43245"/>
    <w:rsid w:val="00B518E9"/>
    <w:rsid w:val="00B522EE"/>
    <w:rsid w:val="00B61CBF"/>
    <w:rsid w:val="00B62232"/>
    <w:rsid w:val="00B75643"/>
    <w:rsid w:val="00BC277F"/>
    <w:rsid w:val="00BD2C69"/>
    <w:rsid w:val="00BE05FF"/>
    <w:rsid w:val="00BE15ED"/>
    <w:rsid w:val="00BF4298"/>
    <w:rsid w:val="00C06AA5"/>
    <w:rsid w:val="00C531B3"/>
    <w:rsid w:val="00C56CE1"/>
    <w:rsid w:val="00C62CB2"/>
    <w:rsid w:val="00C65134"/>
    <w:rsid w:val="00C71462"/>
    <w:rsid w:val="00C7770D"/>
    <w:rsid w:val="00C84BE8"/>
    <w:rsid w:val="00CB144C"/>
    <w:rsid w:val="00CC2D18"/>
    <w:rsid w:val="00CE7D1C"/>
    <w:rsid w:val="00D1061A"/>
    <w:rsid w:val="00D15D89"/>
    <w:rsid w:val="00D21E98"/>
    <w:rsid w:val="00D3342A"/>
    <w:rsid w:val="00D3664B"/>
    <w:rsid w:val="00D50AF1"/>
    <w:rsid w:val="00D64932"/>
    <w:rsid w:val="00D904D3"/>
    <w:rsid w:val="00DA6E00"/>
    <w:rsid w:val="00DB443B"/>
    <w:rsid w:val="00DD1C83"/>
    <w:rsid w:val="00DE7DFA"/>
    <w:rsid w:val="00E11942"/>
    <w:rsid w:val="00E15953"/>
    <w:rsid w:val="00E4372D"/>
    <w:rsid w:val="00E70A43"/>
    <w:rsid w:val="00E8056E"/>
    <w:rsid w:val="00E81763"/>
    <w:rsid w:val="00E96BDB"/>
    <w:rsid w:val="00EA17F8"/>
    <w:rsid w:val="00EA49B5"/>
    <w:rsid w:val="00EA4E1C"/>
    <w:rsid w:val="00EA70D6"/>
    <w:rsid w:val="00ED6D3E"/>
    <w:rsid w:val="00EE04D0"/>
    <w:rsid w:val="00EE7B34"/>
    <w:rsid w:val="00F06FBA"/>
    <w:rsid w:val="00F243CE"/>
    <w:rsid w:val="00F24BD1"/>
    <w:rsid w:val="00F5240F"/>
    <w:rsid w:val="00F667B1"/>
    <w:rsid w:val="00F84632"/>
    <w:rsid w:val="00F8570F"/>
    <w:rsid w:val="00F86B38"/>
    <w:rsid w:val="00FA04D2"/>
    <w:rsid w:val="00FD047F"/>
    <w:rsid w:val="00FE1BF2"/>
    <w:rsid w:val="00FF2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972A"/>
  <w15:chartTrackingRefBased/>
  <w15:docId w15:val="{39D87333-C68E-7247-8DBF-082A3BAC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0F"/>
    <w:pPr>
      <w:spacing w:after="160" w:line="278" w:lineRule="auto"/>
    </w:pPr>
    <w:rPr>
      <w:rFonts w:eastAsiaTheme="minorEastAsia"/>
      <w:sz w:val="22"/>
      <w:lang w:val="nl-NL"/>
    </w:rPr>
  </w:style>
  <w:style w:type="paragraph" w:styleId="Heading1">
    <w:name w:val="heading 1"/>
    <w:basedOn w:val="Normal"/>
    <w:next w:val="Normal"/>
    <w:link w:val="Heading1Char"/>
    <w:uiPriority w:val="9"/>
    <w:qFormat/>
    <w:rsid w:val="00F8570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F8570F"/>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F8570F"/>
    <w:pPr>
      <w:keepNext/>
      <w:keepLines/>
      <w:spacing w:before="160" w:after="80" w:line="240"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F8570F"/>
    <w:pPr>
      <w:keepNext/>
      <w:keepLines/>
      <w:spacing w:before="80" w:after="40" w:line="240" w:lineRule="auto"/>
      <w:outlineLvl w:val="3"/>
    </w:pPr>
    <w:rPr>
      <w:rFonts w:eastAsiaTheme="majorEastAsia" w:cstheme="majorBidi"/>
      <w:i/>
      <w:iCs/>
      <w:color w:val="0F4761" w:themeColor="accent1" w:themeShade="BF"/>
      <w:sz w:val="24"/>
      <w:lang w:val="en-AU"/>
    </w:rPr>
  </w:style>
  <w:style w:type="paragraph" w:styleId="Heading5">
    <w:name w:val="heading 5"/>
    <w:basedOn w:val="Normal"/>
    <w:next w:val="Normal"/>
    <w:link w:val="Heading5Char"/>
    <w:uiPriority w:val="9"/>
    <w:semiHidden/>
    <w:unhideWhenUsed/>
    <w:qFormat/>
    <w:rsid w:val="00F8570F"/>
    <w:pPr>
      <w:keepNext/>
      <w:keepLines/>
      <w:spacing w:before="80" w:after="40" w:line="240" w:lineRule="auto"/>
      <w:outlineLvl w:val="4"/>
    </w:pPr>
    <w:rPr>
      <w:rFonts w:eastAsiaTheme="majorEastAsia" w:cstheme="majorBidi"/>
      <w:color w:val="0F4761" w:themeColor="accent1" w:themeShade="BF"/>
      <w:sz w:val="24"/>
      <w:lang w:val="en-AU"/>
    </w:rPr>
  </w:style>
  <w:style w:type="paragraph" w:styleId="Heading6">
    <w:name w:val="heading 6"/>
    <w:basedOn w:val="Normal"/>
    <w:next w:val="Normal"/>
    <w:link w:val="Heading6Char"/>
    <w:uiPriority w:val="9"/>
    <w:semiHidden/>
    <w:unhideWhenUsed/>
    <w:qFormat/>
    <w:rsid w:val="00F8570F"/>
    <w:pPr>
      <w:keepNext/>
      <w:keepLines/>
      <w:spacing w:before="40" w:after="0" w:line="240" w:lineRule="auto"/>
      <w:outlineLvl w:val="5"/>
    </w:pPr>
    <w:rPr>
      <w:rFonts w:eastAsiaTheme="majorEastAsia" w:cstheme="majorBidi"/>
      <w:i/>
      <w:iCs/>
      <w:color w:val="595959" w:themeColor="text1" w:themeTint="A6"/>
      <w:sz w:val="24"/>
      <w:lang w:val="en-AU"/>
    </w:rPr>
  </w:style>
  <w:style w:type="paragraph" w:styleId="Heading7">
    <w:name w:val="heading 7"/>
    <w:basedOn w:val="Normal"/>
    <w:next w:val="Normal"/>
    <w:link w:val="Heading7Char"/>
    <w:uiPriority w:val="9"/>
    <w:semiHidden/>
    <w:unhideWhenUsed/>
    <w:qFormat/>
    <w:rsid w:val="00F8570F"/>
    <w:pPr>
      <w:keepNext/>
      <w:keepLines/>
      <w:spacing w:before="40" w:after="0" w:line="240" w:lineRule="auto"/>
      <w:outlineLvl w:val="6"/>
    </w:pPr>
    <w:rPr>
      <w:rFonts w:eastAsiaTheme="majorEastAsia" w:cstheme="majorBidi"/>
      <w:color w:val="595959" w:themeColor="text1" w:themeTint="A6"/>
      <w:sz w:val="24"/>
      <w:lang w:val="en-AU"/>
    </w:rPr>
  </w:style>
  <w:style w:type="paragraph" w:styleId="Heading8">
    <w:name w:val="heading 8"/>
    <w:basedOn w:val="Normal"/>
    <w:next w:val="Normal"/>
    <w:link w:val="Heading8Char"/>
    <w:uiPriority w:val="9"/>
    <w:semiHidden/>
    <w:unhideWhenUsed/>
    <w:qFormat/>
    <w:rsid w:val="00F8570F"/>
    <w:pPr>
      <w:keepNext/>
      <w:keepLines/>
      <w:spacing w:after="0" w:line="240" w:lineRule="auto"/>
      <w:outlineLvl w:val="7"/>
    </w:pPr>
    <w:rPr>
      <w:rFonts w:eastAsiaTheme="majorEastAsia" w:cstheme="majorBidi"/>
      <w:i/>
      <w:iCs/>
      <w:color w:val="272727" w:themeColor="text1" w:themeTint="D8"/>
      <w:sz w:val="24"/>
      <w:lang w:val="en-AU"/>
    </w:rPr>
  </w:style>
  <w:style w:type="paragraph" w:styleId="Heading9">
    <w:name w:val="heading 9"/>
    <w:basedOn w:val="Normal"/>
    <w:next w:val="Normal"/>
    <w:link w:val="Heading9Char"/>
    <w:uiPriority w:val="9"/>
    <w:semiHidden/>
    <w:unhideWhenUsed/>
    <w:qFormat/>
    <w:rsid w:val="00F8570F"/>
    <w:pPr>
      <w:keepNext/>
      <w:keepLines/>
      <w:spacing w:after="0" w:line="240" w:lineRule="auto"/>
      <w:outlineLvl w:val="8"/>
    </w:pPr>
    <w:rPr>
      <w:rFonts w:eastAsiaTheme="majorEastAsia" w:cstheme="majorBidi"/>
      <w:color w:val="272727" w:themeColor="text1" w:themeTint="D8"/>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70F"/>
    <w:rPr>
      <w:rFonts w:eastAsiaTheme="majorEastAsia" w:cstheme="majorBidi"/>
      <w:color w:val="272727" w:themeColor="text1" w:themeTint="D8"/>
    </w:rPr>
  </w:style>
  <w:style w:type="paragraph" w:styleId="Title">
    <w:name w:val="Title"/>
    <w:basedOn w:val="Normal"/>
    <w:next w:val="Normal"/>
    <w:link w:val="TitleChar"/>
    <w:uiPriority w:val="10"/>
    <w:qFormat/>
    <w:rsid w:val="00F8570F"/>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F8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70F"/>
    <w:pPr>
      <w:numPr>
        <w:ilvl w:val="1"/>
      </w:numPr>
      <w:spacing w:line="240"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F8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70F"/>
    <w:pPr>
      <w:spacing w:before="160" w:line="240" w:lineRule="auto"/>
      <w:jc w:val="center"/>
    </w:pPr>
    <w:rPr>
      <w:rFonts w:eastAsiaTheme="minorHAnsi"/>
      <w:i/>
      <w:iCs/>
      <w:color w:val="404040" w:themeColor="text1" w:themeTint="BF"/>
      <w:sz w:val="24"/>
      <w:lang w:val="en-AU"/>
    </w:rPr>
  </w:style>
  <w:style w:type="character" w:customStyle="1" w:styleId="QuoteChar">
    <w:name w:val="Quote Char"/>
    <w:basedOn w:val="DefaultParagraphFont"/>
    <w:link w:val="Quote"/>
    <w:uiPriority w:val="29"/>
    <w:rsid w:val="00F8570F"/>
    <w:rPr>
      <w:i/>
      <w:iCs/>
      <w:color w:val="404040" w:themeColor="text1" w:themeTint="BF"/>
    </w:rPr>
  </w:style>
  <w:style w:type="paragraph" w:styleId="ListParagraph">
    <w:name w:val="List Paragraph"/>
    <w:basedOn w:val="Normal"/>
    <w:uiPriority w:val="34"/>
    <w:qFormat/>
    <w:rsid w:val="00F8570F"/>
    <w:pPr>
      <w:spacing w:after="0" w:line="240" w:lineRule="auto"/>
      <w:ind w:left="720"/>
      <w:contextualSpacing/>
    </w:pPr>
    <w:rPr>
      <w:rFonts w:eastAsiaTheme="minorHAnsi"/>
      <w:sz w:val="24"/>
      <w:lang w:val="en-AU"/>
    </w:rPr>
  </w:style>
  <w:style w:type="character" w:styleId="IntenseEmphasis">
    <w:name w:val="Intense Emphasis"/>
    <w:basedOn w:val="DefaultParagraphFont"/>
    <w:uiPriority w:val="21"/>
    <w:qFormat/>
    <w:rsid w:val="00F8570F"/>
    <w:rPr>
      <w:i/>
      <w:iCs/>
      <w:color w:val="0F4761" w:themeColor="accent1" w:themeShade="BF"/>
    </w:rPr>
  </w:style>
  <w:style w:type="paragraph" w:styleId="IntenseQuote">
    <w:name w:val="Intense Quote"/>
    <w:basedOn w:val="Normal"/>
    <w:next w:val="Normal"/>
    <w:link w:val="IntenseQuoteChar"/>
    <w:uiPriority w:val="30"/>
    <w:qFormat/>
    <w:rsid w:val="00F8570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lang w:val="en-AU"/>
    </w:rPr>
  </w:style>
  <w:style w:type="character" w:customStyle="1" w:styleId="IntenseQuoteChar">
    <w:name w:val="Intense Quote Char"/>
    <w:basedOn w:val="DefaultParagraphFont"/>
    <w:link w:val="IntenseQuote"/>
    <w:uiPriority w:val="30"/>
    <w:rsid w:val="00F8570F"/>
    <w:rPr>
      <w:i/>
      <w:iCs/>
      <w:color w:val="0F4761" w:themeColor="accent1" w:themeShade="BF"/>
    </w:rPr>
  </w:style>
  <w:style w:type="character" w:styleId="IntenseReference">
    <w:name w:val="Intense Reference"/>
    <w:basedOn w:val="DefaultParagraphFont"/>
    <w:uiPriority w:val="32"/>
    <w:qFormat/>
    <w:rsid w:val="00F857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Older</dc:creator>
  <cp:keywords/>
  <dc:description/>
  <cp:lastModifiedBy>Paul Older</cp:lastModifiedBy>
  <cp:revision>1</cp:revision>
  <dcterms:created xsi:type="dcterms:W3CDTF">2025-10-25T01:26:00Z</dcterms:created>
  <dcterms:modified xsi:type="dcterms:W3CDTF">2025-10-25T01:27:00Z</dcterms:modified>
</cp:coreProperties>
</file>